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EBA" w:rsidRPr="00502EBA" w:rsidRDefault="00502EBA" w:rsidP="00502EBA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r w:rsidRPr="00502EBA">
        <w:rPr>
          <w:sz w:val="28"/>
          <w:szCs w:val="28"/>
        </w:rPr>
        <w:t>Таблица 10</w:t>
      </w:r>
    </w:p>
    <w:p w:rsidR="00502EBA" w:rsidRPr="00502EBA" w:rsidRDefault="00502EBA" w:rsidP="00502EBA">
      <w:pPr>
        <w:autoSpaceDE w:val="0"/>
        <w:autoSpaceDN w:val="0"/>
        <w:adjustRightInd w:val="0"/>
        <w:spacing w:line="240" w:lineRule="exact"/>
        <w:jc w:val="right"/>
        <w:outlineLvl w:val="2"/>
        <w:rPr>
          <w:sz w:val="28"/>
          <w:szCs w:val="28"/>
        </w:rPr>
      </w:pPr>
    </w:p>
    <w:p w:rsidR="00502EBA" w:rsidRPr="00502EBA" w:rsidRDefault="00502EBA" w:rsidP="00502EBA">
      <w:pPr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502EBA">
        <w:rPr>
          <w:caps/>
          <w:sz w:val="24"/>
          <w:szCs w:val="24"/>
        </w:rPr>
        <w:t xml:space="preserve">Сведения </w:t>
      </w:r>
    </w:p>
    <w:p w:rsidR="00502EBA" w:rsidRPr="00502EBA" w:rsidRDefault="00502EBA" w:rsidP="00502EB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02EBA">
        <w:rPr>
          <w:sz w:val="24"/>
          <w:szCs w:val="24"/>
        </w:rPr>
        <w:t xml:space="preserve">о достижении </w:t>
      </w:r>
      <w:proofErr w:type="gramStart"/>
      <w:r w:rsidRPr="00502EBA">
        <w:rPr>
          <w:sz w:val="24"/>
          <w:szCs w:val="24"/>
        </w:rPr>
        <w:t>значений индикаторов достижения целей Программы</w:t>
      </w:r>
      <w:proofErr w:type="gramEnd"/>
      <w:r w:rsidRPr="00502EBA">
        <w:rPr>
          <w:sz w:val="24"/>
          <w:szCs w:val="24"/>
        </w:rPr>
        <w:t xml:space="preserve"> и показателей решения задач подпрограмм Программы Минераловодского городского округа «Развитие физической культуры и спорта» за 2022 год</w:t>
      </w:r>
    </w:p>
    <w:p w:rsidR="00502EBA" w:rsidRPr="00502EBA" w:rsidRDefault="00502EBA" w:rsidP="00502EB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tbl>
      <w:tblPr>
        <w:tblW w:w="15452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154"/>
        <w:gridCol w:w="1382"/>
        <w:gridCol w:w="993"/>
        <w:gridCol w:w="1102"/>
        <w:gridCol w:w="95"/>
        <w:gridCol w:w="1496"/>
        <w:gridCol w:w="6593"/>
      </w:tblGrid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54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№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502EBA">
              <w:rPr>
                <w:sz w:val="24"/>
                <w:szCs w:val="24"/>
              </w:rPr>
              <w:t>п</w:t>
            </w:r>
            <w:proofErr w:type="gramEnd"/>
            <w:r w:rsidRPr="00502EBA">
              <w:rPr>
                <w:sz w:val="24"/>
                <w:szCs w:val="24"/>
              </w:rPr>
              <w:t>/п</w:t>
            </w:r>
          </w:p>
        </w:tc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Единица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измерения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65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Обоснование </w:t>
            </w:r>
            <w:proofErr w:type="gramStart"/>
            <w:r w:rsidRPr="00502EBA">
              <w:rPr>
                <w:sz w:val="24"/>
                <w:szCs w:val="24"/>
              </w:rPr>
              <w:t>отклонений значений индикатора достижения цели</w:t>
            </w:r>
            <w:proofErr w:type="gramEnd"/>
            <w:r w:rsidRPr="00502EBA">
              <w:rPr>
                <w:sz w:val="24"/>
                <w:szCs w:val="24"/>
              </w:rPr>
              <w:t xml:space="preserve"> Программы (показателя решения задачи подпрограммы Программы) на конец отчетного года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(при наличии)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408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2021 год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отчетный  год</w:t>
            </w:r>
          </w:p>
        </w:tc>
        <w:tc>
          <w:tcPr>
            <w:tcW w:w="65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План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2022 год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фактическое значение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на конец </w:t>
            </w:r>
          </w:p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2022 года</w:t>
            </w:r>
          </w:p>
        </w:tc>
        <w:tc>
          <w:tcPr>
            <w:tcW w:w="65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4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6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7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Программа «Развитие физической культуры и спорта»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pacing w:val="2"/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</w:rPr>
              <w:t xml:space="preserve">Цель Программы: </w:t>
            </w:r>
            <w:r w:rsidRPr="00502EBA">
              <w:rPr>
                <w:bCs/>
                <w:spacing w:val="2"/>
                <w:sz w:val="24"/>
                <w:szCs w:val="24"/>
                <w:shd w:val="clear" w:color="auto" w:fill="FFFFFF"/>
              </w:rPr>
              <w:t>создание условий, обеспечивающих возможность населению Минераловодского городского округа систематически заниматься физической культурой и спортом, вести здоровый образ жизни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Индикаторы достижения цели Программы: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Доля населения Минераловодского городского округа систематически занимающегося физической культурой и спортом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55,3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55,5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56,2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502EBA">
              <w:rPr>
                <w:sz w:val="24"/>
                <w:szCs w:val="24"/>
              </w:rPr>
              <w:t>Увеличение фактического показателя к запланированному произошло за счет роста числа занимающихся по месту жительства и вовлечения к занятиям всех возрастных категорий жителей Минераловодского городского округа.</w:t>
            </w:r>
            <w:proofErr w:type="gramEnd"/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Подпрограмма 1 «Развитие физической культуры и спорта, пропаганда здорового образа жизни»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tabs>
                <w:tab w:val="left" w:pos="4860"/>
              </w:tabs>
              <w:overflowPunct w:val="0"/>
              <w:autoSpaceDE w:val="0"/>
              <w:autoSpaceDN w:val="0"/>
              <w:adjustRightInd w:val="0"/>
              <w:ind w:right="282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Задача 1: «О</w:t>
            </w:r>
            <w:r w:rsidRPr="00502EBA">
              <w:rPr>
                <w:sz w:val="24"/>
                <w:szCs w:val="24"/>
                <w:shd w:val="clear" w:color="auto" w:fill="FFFFFF"/>
              </w:rPr>
              <w:t>беспечение доступности занятий физической культурой и массовым спортом для всех слоев населения Минераловодского городского округа»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Количество проведенных в Минераловодском городском округе официальных муниципальных </w:t>
            </w:r>
            <w:r w:rsidRPr="00502EBA">
              <w:rPr>
                <w:sz w:val="24"/>
                <w:szCs w:val="24"/>
              </w:rPr>
              <w:lastRenderedPageBreak/>
              <w:t>физкультурно-массовых и спортивно-массовых мероприятий по различным видам спорта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lastRenderedPageBreak/>
              <w:t xml:space="preserve">Единица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shd w:val="clear" w:color="auto" w:fill="FFFFFF"/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50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Количество официальных межмуниципальных, региональных спортивных мероприятий, в которых приняли участие спортсмены и сборные Минераловодского городского округа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межмуниципальных, региональных спортивных мероприятий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Доля обучающихся общеобразовательных организаций Минераловодского городского округа, профессиональных образовательных организаций Минераловодского городского округа и образовательных организаций высшего образования, расположенных на территории Минераловодского городского округа (далее – обучающиеся образовательных организаций), систематически занимающихся физической культурой и спортом, в </w:t>
            </w:r>
            <w:r w:rsidRPr="00502EBA">
              <w:rPr>
                <w:sz w:val="24"/>
                <w:szCs w:val="24"/>
              </w:rPr>
              <w:lastRenderedPageBreak/>
              <w:t>общей численности обучающихся образовательных организаций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83,7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84,0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87,3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запланированному произошло за счет роста числа </w:t>
            </w:r>
            <w:proofErr w:type="gramStart"/>
            <w:r w:rsidRPr="00502EBA">
              <w:rPr>
                <w:sz w:val="24"/>
                <w:szCs w:val="24"/>
              </w:rPr>
              <w:t>занимающихся</w:t>
            </w:r>
            <w:proofErr w:type="gramEnd"/>
            <w:r w:rsidRPr="00502EBA">
              <w:rPr>
                <w:sz w:val="24"/>
                <w:szCs w:val="24"/>
              </w:rPr>
              <w:t xml:space="preserve"> по месту жительства 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lastRenderedPageBreak/>
              <w:t>5.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Количество спортсменов Минераловодского городского округа, включенных в составы спортивных сборных команд Ставропольского края и России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Человек/</w:t>
            </w:r>
          </w:p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65/5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75/7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76/8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повышения результатов минераловодских спортсменов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Уровень занятого места сборной командой Минераловодского городского округа по футболу в Чемпионате или Первенстве Ставропольского края по футболу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Место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Доля населения Минераловодского городского округа, выполнившего нормативы испытаний (тестов) Всероссийского физкультурно-спортивного комплекса «Готов к труду и обороне» (далее – комплекс ГТО), в общей численности населения Минераловодского городского округа, принявшего участие в выполнении нормативов испытаний (тестов) комплекса ГТО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65,0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68,0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502EBA">
              <w:rPr>
                <w:bCs/>
                <w:sz w:val="24"/>
                <w:szCs w:val="24"/>
              </w:rPr>
              <w:t>73,0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за счет повышения результатов граждан и углубленной подготовки к сдаче ГТО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учащихся МКУ ДО ДЮСШ г. Минеральные Воды (далее – ДЮСШ), получивших массовые спортивные разряды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247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250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312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по причине возобновления проведения на территории Ставропольского края спортивных и иных мероприятий, активного участия спортсменов ДЮСШ в соревнованиях различного уровня, улучшения показателей спортивной подготовки учащимися ДЮСШ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9.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учащихся ДЮСШ, получивших разряд «кандидат в мастера спорта» (КМС), звание «мастер спорта» (МС)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9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Уменьшение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прохождения не всеми спортсменами ДЮСШ испытаний 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10.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 xml:space="preserve">Количество спортивно-массовых мероприятий муниципальных образований Ставропольского края (далее – соревнования местного уровня), в которых приняли участие учащиеся ДЮСШ, </w:t>
            </w:r>
            <w:proofErr w:type="gramStart"/>
            <w:r w:rsidRPr="00502EBA">
              <w:rPr>
                <w:sz w:val="24"/>
                <w:szCs w:val="24"/>
                <w:shd w:val="clear" w:color="auto" w:fill="FFFFFF"/>
              </w:rPr>
              <w:t>согласно</w:t>
            </w:r>
            <w:proofErr w:type="gramEnd"/>
            <w:r w:rsidRPr="00502EBA">
              <w:rPr>
                <w:sz w:val="24"/>
                <w:szCs w:val="24"/>
                <w:shd w:val="clear" w:color="auto" w:fill="FFFFFF"/>
              </w:rPr>
              <w:t xml:space="preserve"> календарного плана учреждения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45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45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69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местного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11.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учащихся ДЮСШ, принявших участие в соревнованиях местного уровня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1 400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1 400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1 420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местного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12.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 xml:space="preserve">Количество призовых мест, занятых учащимися ДЮСШ в соревнованиях местного уровня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245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245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544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местного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13.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соревнований, включенных в краевой календарный план (далее – краевые соревнования), в которых приняли участие учащиеся ДЮСШ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46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краевого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14.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 xml:space="preserve">Количество учащихся </w:t>
            </w:r>
            <w:r w:rsidRPr="00502EBA">
              <w:rPr>
                <w:sz w:val="24"/>
                <w:szCs w:val="24"/>
                <w:shd w:val="clear" w:color="auto" w:fill="FFFFFF"/>
              </w:rPr>
              <w:lastRenderedPageBreak/>
              <w:t>ДЮСШ, принявших участие в краевых соревнованиях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310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601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</w:t>
            </w:r>
            <w:r w:rsidRPr="00502EBA">
              <w:rPr>
                <w:sz w:val="24"/>
                <w:szCs w:val="24"/>
              </w:rPr>
              <w:lastRenderedPageBreak/>
              <w:t xml:space="preserve">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краевого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lastRenderedPageBreak/>
              <w:t>15.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призовых мест, занятых учащимися ДЮСШ в краевых соревнованиях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75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75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185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к </w:t>
            </w:r>
            <w:proofErr w:type="gramStart"/>
            <w:r w:rsidRPr="00502EBA">
              <w:rPr>
                <w:sz w:val="24"/>
                <w:szCs w:val="24"/>
              </w:rPr>
              <w:t>запланированному</w:t>
            </w:r>
            <w:proofErr w:type="gramEnd"/>
            <w:r w:rsidRPr="00502EBA">
              <w:rPr>
                <w:sz w:val="24"/>
                <w:szCs w:val="24"/>
              </w:rPr>
              <w:t xml:space="preserve"> произошло за счет увеличения количества </w:t>
            </w:r>
            <w:r w:rsidRPr="00502EBA">
              <w:rPr>
                <w:sz w:val="24"/>
                <w:szCs w:val="24"/>
                <w:shd w:val="clear" w:color="auto" w:fill="FFFFFF"/>
              </w:rPr>
              <w:t>спортивно-массовых мероприятий краевого уровня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16.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Количество граждан Минераловодского городского округа, систематически занимающихся на базе муниципального бюджетного учреждения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дополнительного образования</w:t>
            </w:r>
            <w:r w:rsidRPr="00502EBA">
              <w:rPr>
                <w:sz w:val="24"/>
                <w:szCs w:val="24"/>
                <w:shd w:val="clear" w:color="auto" w:fill="FFFFFF"/>
              </w:rPr>
              <w:t xml:space="preserve"> «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>Спортивная школа № 1</w:t>
            </w:r>
            <w:r w:rsidRPr="00502EBA">
              <w:rPr>
                <w:sz w:val="24"/>
                <w:szCs w:val="24"/>
                <w:shd w:val="clear" w:color="auto" w:fill="FFFFFF"/>
              </w:rPr>
              <w:t xml:space="preserve"> Минераловодского городского округа» (далее – МБУ 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ДО </w:t>
            </w:r>
            <w:r w:rsidRPr="00502EBA">
              <w:rPr>
                <w:sz w:val="24"/>
                <w:szCs w:val="24"/>
                <w:shd w:val="clear" w:color="auto" w:fill="FFFFFF"/>
              </w:rPr>
              <w:t>«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>СШ № 1 МГО</w:t>
            </w:r>
            <w:r w:rsidRPr="00502EBA">
              <w:rPr>
                <w:sz w:val="24"/>
                <w:szCs w:val="24"/>
                <w:shd w:val="clear" w:color="auto" w:fill="FFFFFF"/>
              </w:rPr>
              <w:t xml:space="preserve">»), примечание: с 01.01.2023  муниципальное бюджетное учреждение «Центр физической культуры и спорта Минераловодского городского округа» переименовано в МБУ 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ДО </w:t>
            </w:r>
            <w:r w:rsidRPr="00502EBA">
              <w:rPr>
                <w:sz w:val="24"/>
                <w:szCs w:val="24"/>
                <w:shd w:val="clear" w:color="auto" w:fill="FFFFFF"/>
              </w:rPr>
              <w:t>«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>СШ № 1 МГО»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Человек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323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323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520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Увеличение фактического показателя </w:t>
            </w:r>
            <w:proofErr w:type="gramStart"/>
            <w:r w:rsidRPr="00502EBA">
              <w:rPr>
                <w:sz w:val="24"/>
                <w:szCs w:val="24"/>
              </w:rPr>
              <w:t>к</w:t>
            </w:r>
            <w:proofErr w:type="gramEnd"/>
            <w:r w:rsidRPr="00502EBA">
              <w:rPr>
                <w:sz w:val="24"/>
                <w:szCs w:val="24"/>
              </w:rPr>
              <w:t xml:space="preserve"> запланированному произошло за счет увеличения количества групп занимающихся по месту жительства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17.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 xml:space="preserve">Количество спортивных групп в МБУ 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ДО </w:t>
            </w:r>
            <w:r w:rsidRPr="00502EBA">
              <w:rPr>
                <w:sz w:val="24"/>
                <w:szCs w:val="24"/>
                <w:shd w:val="clear" w:color="auto" w:fill="FFFFFF"/>
              </w:rPr>
              <w:t>«</w:t>
            </w:r>
            <w:r w:rsidRPr="00502EBA">
              <w:rPr>
                <w:rFonts w:eastAsia="Calibri"/>
                <w:sz w:val="24"/>
                <w:szCs w:val="24"/>
                <w:shd w:val="clear" w:color="auto" w:fill="FFFFFF"/>
              </w:rPr>
              <w:t>СШ № 1 МГО</w:t>
            </w:r>
            <w:r w:rsidRPr="00502EBA">
              <w:rPr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30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18.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 xml:space="preserve">Количество организованных и проведенных МБУ ДО «СШ № 1 МГО» спортивно-массовых и физкультурно-оздоровительных мероприятий, </w:t>
            </w:r>
            <w:proofErr w:type="gramStart"/>
            <w:r w:rsidRPr="00502EBA">
              <w:rPr>
                <w:sz w:val="24"/>
                <w:szCs w:val="24"/>
                <w:shd w:val="clear" w:color="auto" w:fill="FFFFFF"/>
              </w:rPr>
              <w:t>согласно</w:t>
            </w:r>
            <w:proofErr w:type="gramEnd"/>
            <w:r w:rsidRPr="00502EBA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02EBA">
              <w:rPr>
                <w:sz w:val="24"/>
                <w:szCs w:val="24"/>
                <w:shd w:val="clear" w:color="auto" w:fill="FFFFFF"/>
              </w:rPr>
              <w:lastRenderedPageBreak/>
              <w:t>календарного плана учреждения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20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502EBA">
              <w:rPr>
                <w:sz w:val="24"/>
                <w:szCs w:val="24"/>
                <w:shd w:val="clear" w:color="auto" w:fill="FFFFFF"/>
              </w:rPr>
              <w:t>Доля лиц, занимающихся в учреждениях, осуществляющих спортивную подготовку, прошедших спортивную подготовку по видам спорта на этапе начальной подготовки и зачисленных на тренировочный этап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 xml:space="preserve">Процент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50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50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1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Задача 2: «Развитие инфраструктуры физической культуры и спорта в Минераловодском городском округе»</w:t>
            </w:r>
          </w:p>
        </w:tc>
      </w:tr>
      <w:tr w:rsidR="00502EBA" w:rsidRPr="00502EBA" w:rsidTr="00C608C8">
        <w:tblPrEx>
          <w:tblCellMar>
            <w:top w:w="0" w:type="dxa"/>
            <w:bottom w:w="0" w:type="dxa"/>
          </w:tblCellMar>
        </w:tblPrEx>
        <w:trPr>
          <w:trHeight w:val="298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502EBA">
              <w:rPr>
                <w:rFonts w:eastAsia="Calibri"/>
                <w:sz w:val="24"/>
                <w:szCs w:val="24"/>
              </w:rPr>
              <w:t>20.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Количество спортивных сооружений Минераловодского городского округа</w:t>
            </w:r>
            <w:r w:rsidRPr="00502EBA">
              <w:rPr>
                <w:sz w:val="24"/>
                <w:szCs w:val="24"/>
              </w:rPr>
              <w:tab/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Единиц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177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177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02EBA">
              <w:rPr>
                <w:sz w:val="24"/>
                <w:szCs w:val="24"/>
              </w:rPr>
              <w:t>177</w:t>
            </w:r>
          </w:p>
        </w:tc>
        <w:tc>
          <w:tcPr>
            <w:tcW w:w="6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EBA" w:rsidRPr="00502EBA" w:rsidRDefault="00502EBA" w:rsidP="00502EB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02EBA" w:rsidRPr="00502EBA" w:rsidRDefault="00502EBA" w:rsidP="00502EBA">
      <w:pPr>
        <w:shd w:val="clear" w:color="auto" w:fill="FFFFFF"/>
        <w:overflowPunct w:val="0"/>
        <w:autoSpaceDE w:val="0"/>
        <w:autoSpaceDN w:val="0"/>
        <w:adjustRightInd w:val="0"/>
        <w:jc w:val="center"/>
        <w:textAlignment w:val="baseline"/>
        <w:rPr>
          <w:rFonts w:eastAsia="Calibri"/>
          <w:sz w:val="24"/>
          <w:szCs w:val="24"/>
        </w:rPr>
      </w:pPr>
    </w:p>
    <w:p w:rsidR="00E91030" w:rsidRDefault="00E91030">
      <w:bookmarkStart w:id="0" w:name="_GoBack"/>
      <w:bookmarkEnd w:id="0"/>
    </w:p>
    <w:sectPr w:rsidR="00E91030" w:rsidSect="00F934C7">
      <w:headerReference w:type="even" r:id="rId5"/>
      <w:pgSz w:w="16838" w:h="11906" w:orient="landscape"/>
      <w:pgMar w:top="1276" w:right="1134" w:bottom="709" w:left="1134" w:header="709" w:footer="709" w:gutter="0"/>
      <w:pgNumType w:start="1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84E" w:rsidRDefault="00502EBA" w:rsidP="00FB00E4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1684E" w:rsidRDefault="00502EB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514"/>
    <w:rsid w:val="00497514"/>
    <w:rsid w:val="00502EBA"/>
    <w:rsid w:val="005802A3"/>
    <w:rsid w:val="006F66F2"/>
    <w:rsid w:val="00E85F9A"/>
    <w:rsid w:val="00E9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02E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2EBA"/>
    <w:rPr>
      <w:lang w:eastAsia="ru-RU"/>
    </w:rPr>
  </w:style>
  <w:style w:type="character" w:styleId="aa">
    <w:name w:val="page number"/>
    <w:rsid w:val="00502E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9A"/>
    <w:rPr>
      <w:lang w:eastAsia="ru-RU"/>
    </w:rPr>
  </w:style>
  <w:style w:type="paragraph" w:styleId="1">
    <w:name w:val="heading 1"/>
    <w:basedOn w:val="a"/>
    <w:next w:val="a"/>
    <w:link w:val="10"/>
    <w:qFormat/>
    <w:rsid w:val="00E85F9A"/>
    <w:pPr>
      <w:keepNext/>
      <w:suppressAutoHyphens/>
      <w:spacing w:after="111"/>
      <w:ind w:left="5170"/>
      <w:outlineLvl w:val="0"/>
    </w:pPr>
    <w:rPr>
      <w:snapToGrid w:val="0"/>
      <w:sz w:val="28"/>
    </w:rPr>
  </w:style>
  <w:style w:type="paragraph" w:styleId="2">
    <w:name w:val="heading 2"/>
    <w:basedOn w:val="a"/>
    <w:next w:val="a"/>
    <w:link w:val="20"/>
    <w:qFormat/>
    <w:rsid w:val="00E85F9A"/>
    <w:pPr>
      <w:keepNext/>
      <w:suppressAutoHyphens/>
      <w:outlineLvl w:val="1"/>
    </w:pPr>
    <w:rPr>
      <w:b/>
      <w:snapToGrid w:val="0"/>
      <w:sz w:val="28"/>
    </w:rPr>
  </w:style>
  <w:style w:type="paragraph" w:styleId="3">
    <w:name w:val="heading 3"/>
    <w:basedOn w:val="a"/>
    <w:next w:val="a"/>
    <w:link w:val="30"/>
    <w:qFormat/>
    <w:rsid w:val="00E85F9A"/>
    <w:pPr>
      <w:keepNext/>
      <w:suppressAutoHyphens/>
      <w:jc w:val="center"/>
      <w:outlineLvl w:val="2"/>
    </w:pPr>
    <w:rPr>
      <w:b/>
      <w:snapToGrid w:val="0"/>
      <w:sz w:val="28"/>
    </w:rPr>
  </w:style>
  <w:style w:type="paragraph" w:styleId="4">
    <w:name w:val="heading 4"/>
    <w:basedOn w:val="a"/>
    <w:next w:val="a"/>
    <w:link w:val="40"/>
    <w:qFormat/>
    <w:rsid w:val="00E85F9A"/>
    <w:pPr>
      <w:keepNext/>
      <w:suppressAutoHyphens/>
      <w:ind w:hanging="330"/>
      <w:jc w:val="center"/>
      <w:outlineLvl w:val="3"/>
    </w:pPr>
    <w:rPr>
      <w:b/>
      <w:snapToGrid w:val="0"/>
      <w:sz w:val="28"/>
    </w:rPr>
  </w:style>
  <w:style w:type="paragraph" w:styleId="5">
    <w:name w:val="heading 5"/>
    <w:basedOn w:val="a"/>
    <w:next w:val="a"/>
    <w:link w:val="50"/>
    <w:qFormat/>
    <w:rsid w:val="00E85F9A"/>
    <w:pPr>
      <w:keepNext/>
      <w:suppressAutoHyphens/>
      <w:ind w:hanging="880"/>
      <w:jc w:val="center"/>
      <w:outlineLvl w:val="4"/>
    </w:pPr>
    <w:rPr>
      <w:b/>
      <w:snapToGrid w:val="0"/>
      <w:sz w:val="28"/>
    </w:rPr>
  </w:style>
  <w:style w:type="paragraph" w:styleId="6">
    <w:name w:val="heading 6"/>
    <w:basedOn w:val="a"/>
    <w:next w:val="a"/>
    <w:link w:val="60"/>
    <w:qFormat/>
    <w:rsid w:val="00E85F9A"/>
    <w:pPr>
      <w:keepNext/>
      <w:tabs>
        <w:tab w:val="left" w:pos="6237"/>
      </w:tabs>
      <w:suppressAutoHyphens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E85F9A"/>
    <w:pPr>
      <w:keepNext/>
      <w:tabs>
        <w:tab w:val="left" w:pos="1985"/>
        <w:tab w:val="left" w:pos="8222"/>
      </w:tabs>
      <w:suppressAutoHyphens/>
      <w:ind w:left="1560"/>
      <w:outlineLvl w:val="6"/>
    </w:pPr>
    <w:rPr>
      <w:snapToGrid w:val="0"/>
      <w:sz w:val="28"/>
    </w:rPr>
  </w:style>
  <w:style w:type="paragraph" w:styleId="8">
    <w:name w:val="heading 8"/>
    <w:basedOn w:val="a"/>
    <w:next w:val="a"/>
    <w:link w:val="80"/>
    <w:qFormat/>
    <w:rsid w:val="00E85F9A"/>
    <w:pPr>
      <w:keepNext/>
      <w:tabs>
        <w:tab w:val="left" w:pos="1985"/>
        <w:tab w:val="left" w:pos="8222"/>
      </w:tabs>
      <w:suppressAutoHyphens/>
      <w:ind w:left="1701"/>
      <w:outlineLvl w:val="7"/>
    </w:pPr>
    <w:rPr>
      <w:snapToGrid w:val="0"/>
      <w:sz w:val="28"/>
    </w:rPr>
  </w:style>
  <w:style w:type="paragraph" w:styleId="9">
    <w:name w:val="heading 9"/>
    <w:basedOn w:val="a"/>
    <w:next w:val="a"/>
    <w:link w:val="90"/>
    <w:qFormat/>
    <w:rsid w:val="00E85F9A"/>
    <w:pPr>
      <w:keepNext/>
      <w:tabs>
        <w:tab w:val="left" w:pos="2060"/>
      </w:tabs>
      <w:suppressAutoHyphens/>
      <w:spacing w:before="222" w:after="222"/>
      <w:ind w:right="3168"/>
      <w:outlineLvl w:val="8"/>
    </w:pPr>
    <w:rPr>
      <w:b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5F9A"/>
    <w:rPr>
      <w:snapToGrid w:val="0"/>
      <w:sz w:val="28"/>
      <w:lang w:eastAsia="ru-RU"/>
    </w:rPr>
  </w:style>
  <w:style w:type="character" w:customStyle="1" w:styleId="20">
    <w:name w:val="Заголовок 2 Знак"/>
    <w:basedOn w:val="a0"/>
    <w:link w:val="2"/>
    <w:rsid w:val="00E85F9A"/>
    <w:rPr>
      <w:b/>
      <w:snapToGrid w:val="0"/>
      <w:sz w:val="28"/>
      <w:lang w:eastAsia="ru-RU"/>
    </w:rPr>
  </w:style>
  <w:style w:type="character" w:customStyle="1" w:styleId="30">
    <w:name w:val="Заголовок 3 Знак"/>
    <w:basedOn w:val="a0"/>
    <w:link w:val="3"/>
    <w:rsid w:val="00E85F9A"/>
    <w:rPr>
      <w:b/>
      <w:snapToGrid w:val="0"/>
      <w:sz w:val="28"/>
      <w:lang w:eastAsia="ru-RU"/>
    </w:rPr>
  </w:style>
  <w:style w:type="character" w:customStyle="1" w:styleId="40">
    <w:name w:val="Заголовок 4 Знак"/>
    <w:basedOn w:val="a0"/>
    <w:link w:val="4"/>
    <w:rsid w:val="00E85F9A"/>
    <w:rPr>
      <w:b/>
      <w:snapToGrid w:val="0"/>
      <w:sz w:val="28"/>
      <w:lang w:eastAsia="ru-RU"/>
    </w:rPr>
  </w:style>
  <w:style w:type="character" w:customStyle="1" w:styleId="50">
    <w:name w:val="Заголовок 5 Знак"/>
    <w:basedOn w:val="a0"/>
    <w:link w:val="5"/>
    <w:rsid w:val="00E85F9A"/>
    <w:rPr>
      <w:b/>
      <w:snapToGrid w:val="0"/>
      <w:sz w:val="28"/>
      <w:lang w:eastAsia="ru-RU"/>
    </w:rPr>
  </w:style>
  <w:style w:type="character" w:customStyle="1" w:styleId="60">
    <w:name w:val="Заголовок 6 Знак"/>
    <w:basedOn w:val="a0"/>
    <w:link w:val="6"/>
    <w:rsid w:val="00E85F9A"/>
    <w:rPr>
      <w:snapToGrid w:val="0"/>
      <w:sz w:val="28"/>
      <w:lang w:eastAsia="ru-RU"/>
    </w:rPr>
  </w:style>
  <w:style w:type="character" w:customStyle="1" w:styleId="70">
    <w:name w:val="Заголовок 7 Знак"/>
    <w:basedOn w:val="a0"/>
    <w:link w:val="7"/>
    <w:rsid w:val="00E85F9A"/>
    <w:rPr>
      <w:snapToGrid w:val="0"/>
      <w:sz w:val="28"/>
      <w:lang w:eastAsia="ru-RU"/>
    </w:rPr>
  </w:style>
  <w:style w:type="character" w:customStyle="1" w:styleId="80">
    <w:name w:val="Заголовок 8 Знак"/>
    <w:basedOn w:val="a0"/>
    <w:link w:val="8"/>
    <w:rsid w:val="00E85F9A"/>
    <w:rPr>
      <w:snapToGrid w:val="0"/>
      <w:sz w:val="28"/>
      <w:lang w:eastAsia="ru-RU"/>
    </w:rPr>
  </w:style>
  <w:style w:type="character" w:customStyle="1" w:styleId="90">
    <w:name w:val="Заголовок 9 Знак"/>
    <w:basedOn w:val="a0"/>
    <w:link w:val="9"/>
    <w:rsid w:val="00E85F9A"/>
    <w:rPr>
      <w:b/>
      <w:snapToGrid w:val="0"/>
      <w:sz w:val="28"/>
      <w:lang w:eastAsia="ru-RU"/>
    </w:rPr>
  </w:style>
  <w:style w:type="paragraph" w:styleId="a3">
    <w:name w:val="caption"/>
    <w:basedOn w:val="a"/>
    <w:next w:val="a"/>
    <w:qFormat/>
    <w:rsid w:val="00E85F9A"/>
    <w:pPr>
      <w:suppressAutoHyphens/>
      <w:spacing w:before="1776"/>
      <w:ind w:left="550" w:right="2992"/>
    </w:pPr>
    <w:rPr>
      <w:snapToGrid w:val="0"/>
      <w:sz w:val="28"/>
    </w:rPr>
  </w:style>
  <w:style w:type="paragraph" w:styleId="a4">
    <w:name w:val="Title"/>
    <w:basedOn w:val="a"/>
    <w:link w:val="a5"/>
    <w:qFormat/>
    <w:rsid w:val="00E85F9A"/>
    <w:pPr>
      <w:jc w:val="center"/>
    </w:pPr>
    <w:rPr>
      <w:b/>
      <w:sz w:val="28"/>
      <w:szCs w:val="24"/>
    </w:rPr>
  </w:style>
  <w:style w:type="character" w:customStyle="1" w:styleId="a5">
    <w:name w:val="Название Знак"/>
    <w:basedOn w:val="a0"/>
    <w:link w:val="a4"/>
    <w:rsid w:val="00E85F9A"/>
    <w:rPr>
      <w:b/>
      <w:sz w:val="28"/>
      <w:szCs w:val="24"/>
      <w:lang w:eastAsia="ru-RU"/>
    </w:rPr>
  </w:style>
  <w:style w:type="paragraph" w:styleId="a6">
    <w:name w:val="Subtitle"/>
    <w:basedOn w:val="a"/>
    <w:link w:val="a7"/>
    <w:qFormat/>
    <w:rsid w:val="00E85F9A"/>
    <w:pPr>
      <w:jc w:val="center"/>
    </w:pPr>
    <w:rPr>
      <w:b/>
      <w:sz w:val="32"/>
    </w:rPr>
  </w:style>
  <w:style w:type="character" w:customStyle="1" w:styleId="a7">
    <w:name w:val="Подзаголовок Знак"/>
    <w:basedOn w:val="a0"/>
    <w:link w:val="a6"/>
    <w:rsid w:val="00E85F9A"/>
    <w:rPr>
      <w:b/>
      <w:sz w:val="3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502E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02EBA"/>
    <w:rPr>
      <w:lang w:eastAsia="ru-RU"/>
    </w:rPr>
  </w:style>
  <w:style w:type="character" w:styleId="aa">
    <w:name w:val="page number"/>
    <w:rsid w:val="00502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1078</Words>
  <Characters>6145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2023-02-15T06:55:00Z</dcterms:created>
  <dcterms:modified xsi:type="dcterms:W3CDTF">2023-02-15T06:56:00Z</dcterms:modified>
</cp:coreProperties>
</file>